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D" w:rsidRDefault="00A70F0F" w:rsidP="00D05AB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«Деловая Россия» – инициатор и</w:t>
      </w:r>
      <w:r w:rsidR="002B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нвестиционны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B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B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малых муниципалитетов</w:t>
      </w:r>
    </w:p>
    <w:p w:rsidR="004D6EEE" w:rsidRPr="002B333D" w:rsidRDefault="002B333D" w:rsidP="00D05AB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8B1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r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24A9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 инвестиций»</w:t>
      </w:r>
      <w:r w:rsidR="000A6E1D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</w:t>
      </w:r>
      <w:r w:rsidR="00D324A9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</w:t>
      </w:r>
      <w:r w:rsidR="001B40F1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Ижевске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F0" w:rsidRPr="005C0FF0">
        <w:rPr>
          <w:rFonts w:ascii="Times New Roman" w:eastAsia="Times New Roman" w:hAnsi="Times New Roman" w:cs="Times New Roman"/>
          <w:sz w:val="24"/>
          <w:szCs w:val="24"/>
          <w:lang w:eastAsia="ru-RU"/>
        </w:rPr>
        <w:t>22-23</w:t>
      </w:r>
      <w:r w:rsidR="0035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5A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2A5A" w:rsidRPr="002B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A5E" w:rsidRDefault="003A1EC1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российских муниципалитетах </w:t>
      </w:r>
      <w:r w:rsidR="00B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обсуждаются удачные модели  и методики привлечения инвестиций.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22-23 ноября в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Ижевске прошел 3-й Всероссийский Форум «Личность. Образование. Бизнес». 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общероссийская общественная организация «</w:t>
      </w:r>
      <w:r w:rsidR="009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Рос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сия»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форума стали главы муниципальных образований, руководители министерств и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ведомств, руководители промышленных предприятий республики, владельцы среднего и</w:t>
      </w:r>
      <w:r w:rsidR="000A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бизнеса. Спикеры и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мероприятия -</w:t>
      </w:r>
      <w:r w:rsidR="000A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из</w:t>
      </w:r>
      <w:r w:rsidR="000A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 Санкт-Петербурга</w:t>
      </w:r>
      <w:r w:rsidR="009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Удмуртское отделение </w:t>
      </w:r>
      <w:r w:rsidR="00A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бщероссийской организации «Деловая Россия»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участников форума на генерацию идей по определению 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инвестиционной привлекательности Удмуртии, 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139F" w:rsidRP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развития</w:t>
      </w:r>
      <w:r w:rsidR="0019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форума </w:t>
      </w:r>
      <w:r w:rsid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6E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муниципалитетов Удмуртии, живое и активное обсуждение сценариев развития территорий. </w:t>
      </w:r>
    </w:p>
    <w:p w:rsidR="00CB45D2" w:rsidRDefault="000C707F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Форуму предшествовало е</w:t>
      </w:r>
      <w:r w:rsidR="00F96A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одно значимое событие для промышленников Удмуртии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96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ированное </w:t>
      </w:r>
      <w:r w:rsidR="00F96A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недавно, в октябре 2013 года в городе Ижевске состоялась стратегическая сессия на тему «Развитие инжиниринга в Удмуртской Республике. Роль регионального центра инжиниринга в развитии малого и среднего </w:t>
      </w:r>
      <w:r w:rsidR="00A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изнеса»</w:t>
      </w:r>
      <w:r w:rsidR="00A7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 общалась Наталья Кириллова – руководитель общероссийского отраслевого отделения «Инжиниринг» общественной организации «Деловая Россия». </w:t>
      </w:r>
      <w:r w:rsidR="00A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0A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 представители бизнеса обсуждали недостаточное развитие инжиниринговых услуг, в том числе связки наука-инжиниринг-производство-рынок, проблемы недостатка высококвалифицированных кадров в производственных отраслях.</w:t>
      </w:r>
    </w:p>
    <w:p w:rsidR="00EA0C7E" w:rsidRDefault="00E074D8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мнению э</w:t>
      </w:r>
      <w:r w:rsidR="00B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 рецепта для </w:t>
      </w:r>
      <w:r w:rsidR="00B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большинства </w:t>
      </w:r>
      <w:r w:rsidR="009C0C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даленных от центра регионов и муниципалитетов не существует. </w:t>
      </w:r>
    </w:p>
    <w:p w:rsidR="00DD72BF" w:rsidRDefault="00E47D19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д</w:t>
      </w:r>
      <w:r w:rsidR="00E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запуска в них механизма притока инвестиций</w:t>
      </w:r>
      <w:r w:rsidR="00F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C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3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 ускоренная «раскрутка» проектов инфраструктурных отраслей.</w:t>
      </w:r>
    </w:p>
    <w:p w:rsidR="00414AF5" w:rsidRDefault="00CB6505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расчетам экспертов</w:t>
      </w:r>
      <w:r w:rsidR="00414AF5" w:rsidRPr="00414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рубль господдержки за счет федерального бюджета на создание инфраструктуры обеспечи</w:t>
      </w:r>
      <w:r w:rsidR="0037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="00414AF5" w:rsidRPr="00414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25 рублей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D20" w:rsidRDefault="00431059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8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ксперты </w:t>
      </w:r>
      <w:r w:rsidR="005362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России»</w:t>
      </w:r>
      <w:r w:rsidR="0008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заявляли о том, что</w:t>
      </w:r>
      <w:r w:rsid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рецессии </w:t>
      </w:r>
      <w:r w:rsidR="0046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регионах </w:t>
      </w:r>
      <w:r w:rsid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08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</w:t>
      </w:r>
      <w:r w:rsid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через, так называемую, «</w:t>
      </w:r>
      <w:r w:rsidR="001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и</w:t>
      </w:r>
      <w:r w:rsidR="00FC2D20" w:rsidRP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ндустриализаци</w:t>
      </w:r>
      <w:r w:rsid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ю», причем для Удмуртской Республики </w:t>
      </w:r>
      <w:r w:rsidR="00ED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определены</w:t>
      </w:r>
      <w:r w:rsidR="0046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ключевые </w:t>
      </w:r>
      <w:r w:rsid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направления: </w:t>
      </w:r>
    </w:p>
    <w:p w:rsidR="00FC2D20" w:rsidRDefault="00FC2D20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и развитие оборонно-промышленного комплекса и высоких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D20" w:rsidRDefault="00FC2D20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развитие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</w:t>
      </w:r>
      <w:r w:rsidRPr="00FC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машиностроения, которое потянет за собой традиционное машиностроение — производство подшипников, электротехнических изделий, станков и т. д.</w:t>
      </w:r>
    </w:p>
    <w:p w:rsidR="00222C06" w:rsidRDefault="0053623D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отмечали, что в</w:t>
      </w:r>
      <w:r w:rsidR="009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олна «новой индустриализации» </w:t>
      </w:r>
      <w:r w:rsidR="005D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неизбежно </w:t>
      </w:r>
      <w:r w:rsidR="009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за собой ту же </w:t>
      </w:r>
      <w:r w:rsidR="00C5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для большинства регионов </w:t>
      </w:r>
      <w:r w:rsidR="009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–дефицит высококвалифицированных кадров. </w:t>
      </w:r>
      <w:r w:rsidR="00A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муниципалитетов отмечали, что </w:t>
      </w:r>
      <w:r w:rsidR="005139BF" w:rsidRPr="0051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провинции социальный статус российского инженера и уровень оплаты его труда</w:t>
      </w:r>
      <w:r w:rsidR="00A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низок</w:t>
      </w:r>
      <w:r w:rsidR="005139BF" w:rsidRPr="0051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промышленных предприятий отмечали, что в большинстве технических вузов </w:t>
      </w:r>
      <w:r w:rsidR="00222C06" w:rsidRPr="0022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222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</w:t>
      </w:r>
      <w:r w:rsidR="00222C06" w:rsidRPr="0022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="0022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934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специалис</w:t>
      </w:r>
      <w:r w:rsidR="009161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4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5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C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07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7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конкурентов - </w:t>
      </w:r>
      <w:r w:rsidR="003A39EA" w:rsidRPr="003A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США, Индии, Китае, странах Евросоюза </w:t>
      </w:r>
      <w:r w:rsidR="0007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полным ходом идет </w:t>
      </w:r>
      <w:r w:rsidR="00091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A39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масштабных программ подготовки инженер</w:t>
      </w:r>
      <w:r w:rsidR="005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кадров</w:t>
      </w:r>
      <w:r w:rsidR="00F6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5A" w:rsidRPr="0079245A" w:rsidRDefault="0053623D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 в диалог с представителями «</w:t>
      </w:r>
      <w:r w:rsidR="003972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еловой Ро</w:t>
      </w:r>
      <w:r w:rsidR="003972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сии» </w:t>
      </w:r>
      <w:proofErr w:type="spellStart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риводил</w:t>
      </w:r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успешные примеры </w:t>
      </w:r>
      <w:r w:rsidR="000B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434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школьной скамьи. Так, в г. Глазове при </w:t>
      </w:r>
      <w:r w:rsidR="00B8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корпорации 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ТВЭЛ</w:t>
      </w:r>
      <w:r w:rsidR="003F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ОАО «Чепецкий механический завод»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функционируют, так называемые, «</w:t>
      </w:r>
      <w:proofErr w:type="gramStart"/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атом-классы</w:t>
      </w:r>
      <w:proofErr w:type="gramEnd"/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ученики старших классов получают профессиональный ориентир и подготовку 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технические вузы по профилю градообразующего предприятия</w:t>
      </w:r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колледж на протяжении многих проводит активную </w:t>
      </w:r>
      <w:proofErr w:type="spellStart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среди руководителей предприятий и школ </w:t>
      </w:r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рабочих кадров для </w:t>
      </w:r>
      <w:proofErr w:type="spellStart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глазовских</w:t>
      </w:r>
      <w:proofErr w:type="spellEnd"/>
      <w:r w:rsidR="00AA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 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совещаний</w:t>
      </w:r>
      <w:r w:rsidR="0046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промышленности </w:t>
      </w:r>
      <w:r w:rsidR="00A111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энергетики</w:t>
      </w:r>
      <w:r w:rsidR="0046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 w:rsidR="00A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поделился </w:t>
      </w:r>
      <w:proofErr w:type="spellStart"/>
      <w:r w:rsidR="00F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</w:t>
      </w:r>
      <w:proofErr w:type="spellEnd"/>
      <w:r w:rsidR="00F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новациями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генеральным директором концерна «Калашников» Константином Бусыгиным. Надо отдать должное 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оперативности 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F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концерна - 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евским государственным техническим университетом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идея создания многопрофильного центра подготовки кадров для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оборонно-промышленного комплекса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охватывающего все образовательные ступени, начиная с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в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</w:t>
      </w:r>
      <w:proofErr w:type="gramStart"/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A10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gramEnd"/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 и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переподготовкой и</w:t>
      </w:r>
      <w:r w:rsidR="0035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5A"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квалификации работников предприятия</w:t>
      </w:r>
      <w:r w:rsidR="00A1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5B2" w:rsidRDefault="00C05FF9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«Деловая Россия» неоднократно поднимала вопрос о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остребованност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C577D" w:rsidRPr="00BC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577D" w:rsidRPr="00BC57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577D" w:rsidRPr="00BC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</w:t>
      </w:r>
      <w:r w:rsidR="00E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577D" w:rsidRPr="00BC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технологических процессов</w:t>
      </w:r>
      <w:r w:rsid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A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от </w:t>
      </w:r>
      <w:r w:rsidR="00D9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r w:rsidR="00EB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оперативного реагирования на свои запросы.</w:t>
      </w:r>
      <w:r w:rsidR="004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промышленные центры не дожидаясь 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«запаздывающей» реакции государства </w:t>
      </w:r>
      <w:r w:rsidR="00F54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«</w:t>
      </w:r>
      <w:r w:rsidR="0040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r w:rsidR="00F54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</w:t>
      </w:r>
      <w:r w:rsidR="00F54F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8108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8108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r w:rsidR="00FC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7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встреч с представителями «Деловой России»</w:t>
      </w:r>
      <w:r w:rsidR="00FC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приведен успешный пример города</w:t>
      </w:r>
      <w:r w:rsid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  <w:r w:rsidR="00FC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Там 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</w:t>
      </w:r>
      <w:r w:rsid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</w:t>
      </w:r>
      <w:r w:rsidR="007F1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в России проект – о</w:t>
      </w:r>
      <w:r w:rsidR="004602CC" w:rsidRPr="0046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</w:t>
      </w:r>
      <w:r w:rsidR="007F1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4602CC" w:rsidRPr="0046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для повышения эффективности предпр</w:t>
      </w:r>
      <w:r w:rsidR="0046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4602CC" w:rsidRPr="0046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6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ия. </w:t>
      </w:r>
      <w:r w:rsidR="00914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602CC" w:rsidRP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бразцовая фабрика бережливого производства (</w:t>
      </w:r>
      <w:proofErr w:type="spellStart"/>
      <w:r w:rsidR="004602CC" w:rsidRP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>modelfactory</w:t>
      </w:r>
      <w:proofErr w:type="spellEnd"/>
      <w:r w:rsidR="004602CC" w:rsidRP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моделир</w:t>
      </w:r>
      <w:r w:rsidR="00914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4602CC" w:rsidRPr="0046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 бизнес-процессы.</w:t>
      </w:r>
      <w:r w:rsidR="0006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D8" w:rsidRP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инвестиций — около 5 м</w:t>
      </w:r>
      <w:r w:rsidR="002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иллионов</w:t>
      </w:r>
      <w:r w:rsidR="009300D8" w:rsidRPr="0062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долларов. </w:t>
      </w:r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914F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международная</w:t>
      </w:r>
      <w:r w:rsidR="009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онсалтинговая </w:t>
      </w:r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компания </w:t>
      </w:r>
      <w:proofErr w:type="spellStart"/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t>McKinsey</w:t>
      </w:r>
      <w:proofErr w:type="spellEnd"/>
      <w:r w:rsidR="00A21140" w:rsidRPr="00A21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 «Объединенные машиностроительные заводы» (ОМЗ) и Уральский федеральный университет.</w:t>
      </w:r>
    </w:p>
    <w:p w:rsidR="00CC53CD" w:rsidRDefault="002175B2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Миграционные процессы </w:t>
      </w:r>
      <w:r w:rsidR="00E1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отток кадров в крупные промышленные центры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обусловили еще одну проблему</w:t>
      </w:r>
      <w:r w:rsidR="00E1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</w:t>
      </w:r>
      <w:r w:rsidR="00DE2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муниципалитетов</w:t>
      </w:r>
      <w:r w:rsidR="00B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нехватку</w:t>
      </w:r>
      <w:r w:rsidR="0019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кадров на предприятиях</w:t>
      </w:r>
      <w:r w:rsidR="00E1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промышленник</w:t>
      </w:r>
      <w:r w:rsidR="0041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этой влиятельной общероссийской организации </w:t>
      </w:r>
      <w:r w:rsidR="006E3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продвигать на территории Удмуртии</w:t>
      </w:r>
      <w:r w:rsidR="005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3CD" w:rsidRPr="00CC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</w:t>
      </w:r>
      <w:r w:rsidR="00CC5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3CD" w:rsidRPr="00CC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Минэкономразвития, Минфином и Международным банком реконструкции и развития</w:t>
      </w:r>
      <w:r w:rsidR="00CC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7BA" w:rsidRPr="00EC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47BA" w:rsidRPr="00EC4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7BA" w:rsidRPr="00EC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кадров для социально-экономического развития регионов</w:t>
      </w:r>
      <w:r w:rsidR="008E5D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BA" w:rsidRPr="00A46F47" w:rsidRDefault="00A46F47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6F47">
        <w:rPr>
          <w:rFonts w:ascii="Times New Roman" w:eastAsia="Times New Roman" w:hAnsi="Times New Roman" w:cs="Times New Roman"/>
          <w:b/>
          <w:lang w:eastAsia="ru-RU"/>
        </w:rPr>
        <w:t>Справочно</w:t>
      </w:r>
      <w:proofErr w:type="spellEnd"/>
      <w:r w:rsidRPr="00A46F47">
        <w:rPr>
          <w:rFonts w:ascii="Times New Roman" w:eastAsia="Times New Roman" w:hAnsi="Times New Roman" w:cs="Times New Roman"/>
          <w:b/>
          <w:lang w:eastAsia="ru-RU"/>
        </w:rPr>
        <w:t>.</w:t>
      </w:r>
      <w:r w:rsidR="00061F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47BA" w:rsidRPr="00A46F47">
        <w:rPr>
          <w:rFonts w:ascii="Times New Roman" w:eastAsia="Times New Roman" w:hAnsi="Times New Roman" w:cs="Times New Roman"/>
          <w:lang w:eastAsia="ru-RU"/>
        </w:rPr>
        <w:t xml:space="preserve">Проект рассчитан на 2014-2018 годы, в его рамках будет осуществлена поддержка пилотных проектов примерно в 10 российских регионах для масштабного распространения лучших практик, типовых решений, учебно-методических материалов. </w:t>
      </w:r>
      <w:r w:rsidR="00E123BA">
        <w:rPr>
          <w:rFonts w:ascii="Times New Roman" w:eastAsia="Times New Roman" w:hAnsi="Times New Roman" w:cs="Times New Roman"/>
          <w:lang w:eastAsia="ru-RU"/>
        </w:rPr>
        <w:t>В случае успешной реализации проекта б</w:t>
      </w:r>
      <w:r w:rsidR="00EC47BA" w:rsidRPr="00A46F47">
        <w:rPr>
          <w:rFonts w:ascii="Times New Roman" w:eastAsia="Times New Roman" w:hAnsi="Times New Roman" w:cs="Times New Roman"/>
          <w:lang w:eastAsia="ru-RU"/>
        </w:rPr>
        <w:t>удет создано около 50 отвечающих самым современным требованиям организаций профессионального образования, разработаны новые (или обновлены действующие) модульные программы подготовки рабочих кадров, предполагающие не менее 50% времени на практическую подготовку на территории предприятия или на учебно-производственном участке.</w:t>
      </w:r>
      <w:r w:rsidR="00061F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47BA" w:rsidRPr="00A46F47">
        <w:rPr>
          <w:rFonts w:ascii="Times New Roman" w:eastAsia="Times New Roman" w:hAnsi="Times New Roman" w:cs="Times New Roman"/>
          <w:lang w:eastAsia="ru-RU"/>
        </w:rPr>
        <w:t xml:space="preserve">Планируемый объем финансирования проекта за счет займа Международного банка реконструкции и развития составит 12,8 </w:t>
      </w:r>
      <w:proofErr w:type="gramStart"/>
      <w:r w:rsidR="00EC47BA" w:rsidRPr="00A46F47">
        <w:rPr>
          <w:rFonts w:ascii="Times New Roman" w:eastAsia="Times New Roman" w:hAnsi="Times New Roman" w:cs="Times New Roman"/>
          <w:lang w:eastAsia="ru-RU"/>
        </w:rPr>
        <w:t>млрд</w:t>
      </w:r>
      <w:proofErr w:type="gramEnd"/>
      <w:r w:rsidR="00EC47BA" w:rsidRPr="00A46F47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8C688B" w:rsidRDefault="008C688B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предполагает </w:t>
      </w:r>
      <w:r w:rsidRPr="0021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труда и образовательных организаций, подготовку студентов к участию в межрегиональных, национальных и международных конкурсах профессионального мастерства, учебно-методическое сопровождение работы региональной сети по всей России, подготовку и повышение квалификации по коротким адресным программам по рабочим профессиям.</w:t>
      </w:r>
    </w:p>
    <w:p w:rsidR="000E3D2A" w:rsidRDefault="003A1AC1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совместно с региональным отделением «Деловая Россия» подключиться к исполнению еще б</w:t>
      </w:r>
      <w:r w:rsidR="00227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масштабн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2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22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22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документом. </w:t>
      </w:r>
      <w:r w:rsidR="00F864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</w:t>
      </w:r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9A" w:rsidRP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системы подготовки рабочих кадров и формирования прикладных квалификаций в Российской Федерации на период 2020 года</w:t>
      </w:r>
      <w:r w:rsidR="00D63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разработанный </w:t>
      </w:r>
      <w:proofErr w:type="spellStart"/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мнению </w:t>
      </w:r>
      <w:r w:rsid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удачно сформированы направления новой кадровой политики.</w:t>
      </w:r>
    </w:p>
    <w:p w:rsidR="00EC47BA" w:rsidRPr="005E755C" w:rsidRDefault="000E3D2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755C">
        <w:rPr>
          <w:rFonts w:ascii="Times New Roman" w:eastAsia="Times New Roman" w:hAnsi="Times New Roman" w:cs="Times New Roman"/>
          <w:b/>
          <w:lang w:eastAsia="ru-RU"/>
        </w:rPr>
        <w:t>Справочно</w:t>
      </w:r>
      <w:proofErr w:type="spellEnd"/>
      <w:r w:rsidRPr="005E755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84C8A">
        <w:rPr>
          <w:rFonts w:ascii="Times New Roman" w:eastAsia="Times New Roman" w:hAnsi="Times New Roman" w:cs="Times New Roman"/>
          <w:lang w:eastAsia="ru-RU"/>
        </w:rPr>
        <w:t>Н</w:t>
      </w:r>
      <w:r w:rsidR="00C4689A" w:rsidRPr="005E755C">
        <w:rPr>
          <w:rFonts w:ascii="Times New Roman" w:eastAsia="Times New Roman" w:hAnsi="Times New Roman" w:cs="Times New Roman"/>
          <w:lang w:eastAsia="ru-RU"/>
        </w:rPr>
        <w:t xml:space="preserve">овации </w:t>
      </w:r>
      <w:r w:rsidR="00AD1903">
        <w:rPr>
          <w:rFonts w:ascii="Times New Roman" w:eastAsia="Times New Roman" w:hAnsi="Times New Roman" w:cs="Times New Roman"/>
          <w:lang w:eastAsia="ru-RU"/>
        </w:rPr>
        <w:t>Стратегии</w:t>
      </w:r>
      <w:r w:rsidR="00C4689A" w:rsidRPr="005E755C">
        <w:rPr>
          <w:rFonts w:ascii="Times New Roman" w:eastAsia="Times New Roman" w:hAnsi="Times New Roman" w:cs="Times New Roman"/>
          <w:lang w:eastAsia="ru-RU"/>
        </w:rPr>
        <w:t>:</w:t>
      </w:r>
    </w:p>
    <w:p w:rsidR="00C4689A" w:rsidRPr="005E755C" w:rsidRDefault="00C4689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755C">
        <w:rPr>
          <w:rFonts w:ascii="Times New Roman" w:eastAsia="Times New Roman" w:hAnsi="Times New Roman" w:cs="Times New Roman"/>
          <w:lang w:eastAsia="ru-RU"/>
        </w:rPr>
        <w:t>- обеспечение социальной поддержки обучающихся на программах профессионального образования;</w:t>
      </w:r>
      <w:proofErr w:type="gramEnd"/>
    </w:p>
    <w:p w:rsidR="00C4689A" w:rsidRPr="005E755C" w:rsidRDefault="00C4689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755C">
        <w:rPr>
          <w:rFonts w:ascii="Times New Roman" w:eastAsia="Times New Roman" w:hAnsi="Times New Roman" w:cs="Times New Roman"/>
          <w:lang w:eastAsia="ru-RU"/>
        </w:rPr>
        <w:t>- повышение доступности профессионального образования для лиц с ограниченными возможностями здоровья</w:t>
      </w:r>
      <w:r w:rsidR="0011686F" w:rsidRPr="005E755C">
        <w:rPr>
          <w:rFonts w:ascii="Times New Roman" w:eastAsia="Times New Roman" w:hAnsi="Times New Roman" w:cs="Times New Roman"/>
          <w:lang w:eastAsia="ru-RU"/>
        </w:rPr>
        <w:t>;</w:t>
      </w:r>
    </w:p>
    <w:p w:rsidR="00C4689A" w:rsidRPr="005E755C" w:rsidRDefault="00C4689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755C">
        <w:rPr>
          <w:rFonts w:ascii="Times New Roman" w:eastAsia="Times New Roman" w:hAnsi="Times New Roman" w:cs="Times New Roman"/>
          <w:lang w:eastAsia="ru-RU"/>
        </w:rPr>
        <w:t>- разработка предложений по введению отраслевого принципа предоставления отсрочки от службы в вооруженных силах</w:t>
      </w:r>
      <w:r w:rsidR="0011686F" w:rsidRPr="005E755C">
        <w:rPr>
          <w:rFonts w:ascii="Times New Roman" w:eastAsia="Times New Roman" w:hAnsi="Times New Roman" w:cs="Times New Roman"/>
          <w:lang w:eastAsia="ru-RU"/>
        </w:rPr>
        <w:t>;</w:t>
      </w:r>
    </w:p>
    <w:p w:rsidR="00C4689A" w:rsidRPr="005E755C" w:rsidRDefault="00C4689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755C">
        <w:rPr>
          <w:rFonts w:ascii="Times New Roman" w:eastAsia="Times New Roman" w:hAnsi="Times New Roman" w:cs="Times New Roman"/>
          <w:lang w:eastAsia="ru-RU"/>
        </w:rPr>
        <w:t>- создание системы сопровождения профессионального самоопределения обучающихся на различных уровнях общего и профессионального образования</w:t>
      </w:r>
      <w:r w:rsidR="0011686F" w:rsidRPr="005E755C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C4689A" w:rsidRPr="005E755C" w:rsidRDefault="00C4689A" w:rsidP="00D05AB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755C">
        <w:rPr>
          <w:rFonts w:ascii="Times New Roman" w:eastAsia="Times New Roman" w:hAnsi="Times New Roman" w:cs="Times New Roman"/>
          <w:lang w:eastAsia="ru-RU"/>
        </w:rPr>
        <w:t xml:space="preserve">- определение гарантированного минимума </w:t>
      </w:r>
      <w:proofErr w:type="spellStart"/>
      <w:r w:rsidRPr="005E755C">
        <w:rPr>
          <w:rFonts w:ascii="Times New Roman" w:eastAsia="Times New Roman" w:hAnsi="Times New Roman" w:cs="Times New Roman"/>
          <w:lang w:eastAsia="ru-RU"/>
        </w:rPr>
        <w:t>профориентационных</w:t>
      </w:r>
      <w:proofErr w:type="spellEnd"/>
      <w:r w:rsidRPr="005E755C">
        <w:rPr>
          <w:rFonts w:ascii="Times New Roman" w:eastAsia="Times New Roman" w:hAnsi="Times New Roman" w:cs="Times New Roman"/>
          <w:lang w:eastAsia="ru-RU"/>
        </w:rPr>
        <w:t xml:space="preserve"> услуг для обучающихся и их семей в системе общего и профессионального образования, независимо от места проживания.</w:t>
      </w:r>
    </w:p>
    <w:p w:rsidR="00C4689A" w:rsidRPr="00C4689A" w:rsidRDefault="00C468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</w:t>
      </w:r>
      <w:r w:rsidR="00B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эксперты </w:t>
      </w:r>
      <w:r w:rsidR="003A1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Ро</w:t>
      </w:r>
      <w:r w:rsidR="00061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</w:t>
      </w:r>
      <w:r w:rsidR="001C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3A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</w:t>
      </w:r>
      <w:r w:rsidR="003C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3C5E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C5E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тратегии:</w:t>
      </w:r>
    </w:p>
    <w:p w:rsidR="00C4689A" w:rsidRPr="0014224E" w:rsidRDefault="00C468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системы поддержки детей и подростков с техническими способностями (на разных уровнях общего и профессионального образования), в том числе на базе учреждений СПО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9A" w:rsidRPr="0014224E" w:rsidRDefault="00C468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комплексного плана мероприятий по повышению престижа рабочих профессий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9A" w:rsidRPr="0014224E" w:rsidRDefault="00C468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сети учебных центров прикладных квалификаций (УЦПК)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9A" w:rsidRPr="0014224E" w:rsidRDefault="00C468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центров коллективного пользования дорогостоящими технологическими и кадровыми ресурсами, в т.ч. на базе существующих ресурсных центров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24E" w:rsidRPr="0014224E" w:rsidRDefault="0014224E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сотрудничества российских образовательных учреждений с зарубежными компаниями и фирмами в области подготовки профессиональных кадров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24E" w:rsidRPr="0014224E" w:rsidRDefault="0014224E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мплексная информатизация системы подготовки рабочих кадров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24E" w:rsidRPr="0014224E" w:rsidRDefault="0014224E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и внедрение современных моделей </w:t>
      </w:r>
      <w:proofErr w:type="gramStart"/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ИКТ-среды</w:t>
      </w:r>
      <w:proofErr w:type="gramEnd"/>
      <w:r w:rsidRPr="0014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профессионального образования и обучения различных видов</w:t>
      </w:r>
      <w:r w:rsidR="00116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0A" w:rsidRPr="00CD5E0A" w:rsidRDefault="003A1AC1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проблем с представителям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«Деловая Россия» руководители предприятий, муниципалитетов </w:t>
      </w:r>
      <w:r w:rsidR="0095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отметили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951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67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951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системной практической поддержке инициатив исходящих </w:t>
      </w:r>
      <w:r w:rsidR="00951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глубинки</w:t>
      </w:r>
      <w:r w:rsidR="004C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приоритетомдолжно стать стимулирование </w:t>
      </w:r>
      <w:r w:rsidR="002B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по созданию территорий опережающего роста</w:t>
      </w:r>
      <w:r w:rsidR="00CB0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B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 создание условий для развития </w:t>
      </w:r>
      <w:proofErr w:type="spellStart"/>
      <w:r w:rsidR="002B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2B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-активных </w:t>
      </w:r>
      <w:r w:rsidR="003C5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муниципалитетов</w:t>
      </w:r>
      <w:r w:rsidR="002B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C8D" w:rsidRDefault="00093D9A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малых </w:t>
      </w:r>
      <w:proofErr w:type="spellStart"/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высокоурбанизированных</w:t>
      </w:r>
      <w:proofErr w:type="spellEnd"/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6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экономических зон</w:t>
      </w:r>
      <w:r w:rsidR="009A76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технопарков. </w:t>
      </w:r>
      <w:r w:rsidR="000D2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B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24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по действующим и проектируемым технопаркам в Российской Федерации показал, что </w:t>
      </w:r>
      <w:r w:rsidR="003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разрабатываемые и осуществляемые «типовые» </w:t>
      </w:r>
      <w:r w:rsidR="00B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масштабные и дорогостоящие </w:t>
      </w:r>
      <w:r w:rsidR="003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строительства технопарков, на наш взгляд</w:t>
      </w:r>
      <w:r w:rsidR="00243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 региональных особенностей</w:t>
      </w:r>
      <w:r w:rsidR="00BB1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возможности создания небольших «локальных» технопарков в малых городах. </w:t>
      </w:r>
    </w:p>
    <w:p w:rsidR="004D6EEE" w:rsidRDefault="00BE4253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актуальным на современном этапе поиска инструментов для привлечения инвестиций в малые муниципальные образования и внедрения инноваций </w:t>
      </w:r>
      <w:r w:rsidR="001D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малого и среднего бизнеса </w:t>
      </w:r>
      <w:r w:rsidR="004D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уйти от штампов действующего законодательства, в том числе и </w:t>
      </w:r>
      <w:proofErr w:type="gramStart"/>
      <w:r w:rsidR="004D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D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требований по разработке проектов технопарков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5C2" w:rsidRDefault="00BE4253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Взаимодействуя с </w:t>
      </w:r>
      <w:r w:rsidR="003A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отделением ООО «Деловая Россия»,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агентством поддержки малого и среднего бизнеса в части создания модельных про</w:t>
      </w:r>
      <w:r w:rsidR="00897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«локальных»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технопарков для малых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высокоурбанизированных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городов, </w:t>
      </w:r>
      <w:r w:rsidR="003A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выводу, что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разновидность технопарков </w:t>
      </w:r>
      <w:r w:rsidR="001C1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</w:t>
      </w:r>
      <w:r w:rsidR="00E7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небольших </w:t>
      </w:r>
      <w:r w:rsidR="001C1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 w:rsidR="004F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«привязки» к конкретным </w:t>
      </w:r>
      <w:r w:rsidR="009C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узам (их филиалам) на территории муниципальных образований</w:t>
      </w:r>
      <w:r w:rsidR="001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12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 уч</w:t>
      </w:r>
      <w:r w:rsidR="001111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технический потенциал территории, снизит </w:t>
      </w:r>
      <w:r w:rsidR="00107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региональные</w:t>
      </w:r>
      <w:proofErr w:type="gramEnd"/>
      <w:r w:rsidR="002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</w:t>
      </w:r>
      <w:r w:rsidR="004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</w:t>
      </w:r>
      <w:r w:rsidR="009F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реальные сроки </w:t>
      </w:r>
      <w:r w:rsidR="002D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окупаемость вложенных инвестиций</w:t>
      </w:r>
      <w:r w:rsidR="0070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модульный метод формирования </w:t>
      </w:r>
      <w:r w:rsidR="00E9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</w:t>
      </w:r>
      <w:r w:rsidR="0070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E9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0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резидентов </w:t>
      </w:r>
      <w:r w:rsidR="00AE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мере </w:t>
      </w:r>
      <w:r w:rsidR="00F6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нарастания </w:t>
      </w:r>
      <w:r w:rsidR="00AE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потребностей) </w:t>
      </w:r>
      <w:r w:rsidR="0070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237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4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2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0405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 использовать инструменты государственно-частного партнерства</w:t>
      </w:r>
      <w:r w:rsidRPr="00BE4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5C2" w:rsidRPr="005F55C2" w:rsidRDefault="005F55C2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поэтапное наращивание мощностей площадки технопарка снижает риски и для федерального центра, поскольку позволит осуществлять финансирование второй и последующих очередей технопарка только после успешного апробирования первой очереди и выхода ее на планируемые показатели.</w:t>
      </w:r>
    </w:p>
    <w:p w:rsidR="00BE4253" w:rsidRDefault="003A1AC1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«Деловой России» обсуждался широкий круг вопросов</w:t>
      </w:r>
      <w:r w:rsidR="00FD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технопарка «</w:t>
      </w:r>
      <w:proofErr w:type="spellStart"/>
      <w:r w:rsidR="00FD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="00FD4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малыми предприятиями востребованы специализированные технологические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Представляется целесообразным создание 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площадке, отведенной для строительства технопарка Центр</w:t>
      </w:r>
      <w:r w:rsidR="00AF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пользования </w:t>
      </w:r>
      <w:r w:rsidR="005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</w:t>
      </w:r>
      <w:r w:rsidR="0029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высокотехнологичным 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станочным парком</w:t>
      </w:r>
      <w:r w:rsidR="00D23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широко востребованным оборудованием</w:t>
      </w:r>
      <w:r w:rsidR="00500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возможность для малой компании </w:t>
      </w:r>
      <w:r w:rsidR="00C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1178EE" w:rsidRP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инвестировать строительство </w:t>
      </w:r>
      <w:r w:rsidR="000A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1178EE" w:rsidRPr="0011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0A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2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технологического </w:t>
      </w:r>
      <w:r w:rsidR="000A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модуля. </w:t>
      </w:r>
      <w:r w:rsidR="001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районов такой Центр коллективного пользования актуален как центр обеспечения фермерских и крестьянских хозяйств высокопроизводительной сельскохозяйственной техникой. </w:t>
      </w:r>
      <w:r w:rsidR="003D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 w:rsidR="003D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риводились аналогии с бывшими в Советском Союзе базами МТС (машинно-тракторными станциями). На Западе такие кооперированные формы пользования техникой </w:t>
      </w:r>
      <w:r w:rsidR="00332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 и высокоэффективны</w:t>
      </w:r>
      <w:r w:rsidR="0017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EEE" w:rsidRPr="0012169B" w:rsidRDefault="00237840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фактором, снижающим эффективность наполнения </w:t>
      </w:r>
      <w:r w:rsidR="00B57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локального</w:t>
      </w:r>
      <w:r w:rsidR="00B575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технопарка резидентами</w:t>
      </w:r>
      <w:r w:rsidR="008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 низкой эффективности внедрения инновационных разработок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НИОКР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182F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55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неэффективные преференции</w:t>
      </w:r>
      <w:r w:rsidR="008C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наш взгляд </w:t>
      </w:r>
      <w:r w:rsidR="00EF36F0"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данную проблему может решить </w:t>
      </w:r>
      <w:r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полное освобождение от региональных и местных налогов и сборов </w:t>
      </w:r>
      <w:r w:rsidR="00F0531F"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="008C2BDE"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2-3 года резидентов технопарков в научно-технической сфере</w:t>
      </w:r>
      <w:r w:rsidRPr="00121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2377" w:rsidRDefault="00442377" w:rsidP="00D05AB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</w:t>
      </w:r>
      <w:r w:rsid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эт</w:t>
      </w:r>
      <w:r w:rsidR="0006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способствуют </w:t>
      </w:r>
      <w:r w:rsidR="007B34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</w:t>
      </w:r>
      <w:r w:rsidR="007B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технопарки, создаваемые в малых городах</w:t>
      </w:r>
      <w:r w:rsidR="006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зонах интересов корпораций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промышленных холдингов</w:t>
      </w:r>
      <w:r w:rsidR="006C5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таких </w:t>
      </w:r>
      <w:r w:rsidR="0068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«точек роста» 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68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инновационный потенциал территории, позвол</w:t>
      </w:r>
      <w:r w:rsidR="0068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вопросы дефицита высококвалифицированных кадров в промышленности и других «якорных» отраслях</w:t>
      </w:r>
      <w:r w:rsidRPr="004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вывести социально-экономическое развитие таких территорий на новый уровень.</w:t>
      </w:r>
    </w:p>
    <w:sectPr w:rsidR="00442377" w:rsidSect="009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03"/>
    <w:multiLevelType w:val="multilevel"/>
    <w:tmpl w:val="23F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06A61"/>
    <w:multiLevelType w:val="hybridMultilevel"/>
    <w:tmpl w:val="D5EC4F24"/>
    <w:lvl w:ilvl="0" w:tplc="97BA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2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6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0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6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6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2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6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4"/>
    <w:rsid w:val="0000478C"/>
    <w:rsid w:val="00010B18"/>
    <w:rsid w:val="00024BCE"/>
    <w:rsid w:val="00026902"/>
    <w:rsid w:val="00030E8D"/>
    <w:rsid w:val="000346C9"/>
    <w:rsid w:val="000357C7"/>
    <w:rsid w:val="000417D4"/>
    <w:rsid w:val="0004193F"/>
    <w:rsid w:val="00043F86"/>
    <w:rsid w:val="00045189"/>
    <w:rsid w:val="00061FFB"/>
    <w:rsid w:val="00065B7B"/>
    <w:rsid w:val="00074CE6"/>
    <w:rsid w:val="00075ADC"/>
    <w:rsid w:val="000778AC"/>
    <w:rsid w:val="00082722"/>
    <w:rsid w:val="00091F45"/>
    <w:rsid w:val="00092196"/>
    <w:rsid w:val="00093D9A"/>
    <w:rsid w:val="000945CE"/>
    <w:rsid w:val="000A17E8"/>
    <w:rsid w:val="000A40F1"/>
    <w:rsid w:val="000A6E1D"/>
    <w:rsid w:val="000A7236"/>
    <w:rsid w:val="000A7566"/>
    <w:rsid w:val="000A790B"/>
    <w:rsid w:val="000B226C"/>
    <w:rsid w:val="000B3AB4"/>
    <w:rsid w:val="000B3E16"/>
    <w:rsid w:val="000B7955"/>
    <w:rsid w:val="000C027C"/>
    <w:rsid w:val="000C0F5C"/>
    <w:rsid w:val="000C707F"/>
    <w:rsid w:val="000D09DB"/>
    <w:rsid w:val="000D2E22"/>
    <w:rsid w:val="000D4EDE"/>
    <w:rsid w:val="000E0402"/>
    <w:rsid w:val="000E12A5"/>
    <w:rsid w:val="000E3D2A"/>
    <w:rsid w:val="000E68F0"/>
    <w:rsid w:val="000E6C63"/>
    <w:rsid w:val="000F514C"/>
    <w:rsid w:val="00105810"/>
    <w:rsid w:val="00107B09"/>
    <w:rsid w:val="00107B1B"/>
    <w:rsid w:val="001111CD"/>
    <w:rsid w:val="0011686F"/>
    <w:rsid w:val="001178EE"/>
    <w:rsid w:val="0012169B"/>
    <w:rsid w:val="00122640"/>
    <w:rsid w:val="00124DB6"/>
    <w:rsid w:val="00126F87"/>
    <w:rsid w:val="001277D4"/>
    <w:rsid w:val="001319F5"/>
    <w:rsid w:val="00132DB8"/>
    <w:rsid w:val="00135C41"/>
    <w:rsid w:val="00136FBF"/>
    <w:rsid w:val="0014224E"/>
    <w:rsid w:val="00147D55"/>
    <w:rsid w:val="00153C10"/>
    <w:rsid w:val="001579B1"/>
    <w:rsid w:val="00160A8D"/>
    <w:rsid w:val="001669E7"/>
    <w:rsid w:val="001676C6"/>
    <w:rsid w:val="001710B3"/>
    <w:rsid w:val="00174E20"/>
    <w:rsid w:val="00182FBA"/>
    <w:rsid w:val="00183C53"/>
    <w:rsid w:val="0019139F"/>
    <w:rsid w:val="00193211"/>
    <w:rsid w:val="001A16D8"/>
    <w:rsid w:val="001A31E5"/>
    <w:rsid w:val="001B1F3C"/>
    <w:rsid w:val="001B40F1"/>
    <w:rsid w:val="001C0305"/>
    <w:rsid w:val="001C1399"/>
    <w:rsid w:val="001C1F79"/>
    <w:rsid w:val="001C295B"/>
    <w:rsid w:val="001C3A8A"/>
    <w:rsid w:val="001C4DA0"/>
    <w:rsid w:val="001C5264"/>
    <w:rsid w:val="001C6CDA"/>
    <w:rsid w:val="001D2B5F"/>
    <w:rsid w:val="001D3656"/>
    <w:rsid w:val="001D500F"/>
    <w:rsid w:val="001E0AEF"/>
    <w:rsid w:val="001E1AB7"/>
    <w:rsid w:val="001E5EE6"/>
    <w:rsid w:val="001F7BD7"/>
    <w:rsid w:val="0020743A"/>
    <w:rsid w:val="00207892"/>
    <w:rsid w:val="00210379"/>
    <w:rsid w:val="00213567"/>
    <w:rsid w:val="002175B2"/>
    <w:rsid w:val="00222C06"/>
    <w:rsid w:val="0022320A"/>
    <w:rsid w:val="00223A1D"/>
    <w:rsid w:val="0022649C"/>
    <w:rsid w:val="0022750B"/>
    <w:rsid w:val="00227C9C"/>
    <w:rsid w:val="002354B9"/>
    <w:rsid w:val="0023588B"/>
    <w:rsid w:val="00235D67"/>
    <w:rsid w:val="00237037"/>
    <w:rsid w:val="00237840"/>
    <w:rsid w:val="0024363E"/>
    <w:rsid w:val="0024374C"/>
    <w:rsid w:val="00244539"/>
    <w:rsid w:val="002503D0"/>
    <w:rsid w:val="002579D6"/>
    <w:rsid w:val="0026001E"/>
    <w:rsid w:val="00260170"/>
    <w:rsid w:val="002628C7"/>
    <w:rsid w:val="00280797"/>
    <w:rsid w:val="00293084"/>
    <w:rsid w:val="00294887"/>
    <w:rsid w:val="00296D2E"/>
    <w:rsid w:val="002A3731"/>
    <w:rsid w:val="002B333D"/>
    <w:rsid w:val="002B4527"/>
    <w:rsid w:val="002D246A"/>
    <w:rsid w:val="002D666F"/>
    <w:rsid w:val="002E70AF"/>
    <w:rsid w:val="002F2C1D"/>
    <w:rsid w:val="002F2DC8"/>
    <w:rsid w:val="002F3368"/>
    <w:rsid w:val="002F36EB"/>
    <w:rsid w:val="003033C9"/>
    <w:rsid w:val="00307074"/>
    <w:rsid w:val="00310C8D"/>
    <w:rsid w:val="0032263E"/>
    <w:rsid w:val="00332242"/>
    <w:rsid w:val="00332F70"/>
    <w:rsid w:val="00344BAF"/>
    <w:rsid w:val="00345F93"/>
    <w:rsid w:val="003468DD"/>
    <w:rsid w:val="00353711"/>
    <w:rsid w:val="003561FB"/>
    <w:rsid w:val="003606CD"/>
    <w:rsid w:val="00373B7E"/>
    <w:rsid w:val="00375B85"/>
    <w:rsid w:val="00380031"/>
    <w:rsid w:val="00383A70"/>
    <w:rsid w:val="00391AA6"/>
    <w:rsid w:val="00392B79"/>
    <w:rsid w:val="0039319D"/>
    <w:rsid w:val="0039722B"/>
    <w:rsid w:val="003A1AC1"/>
    <w:rsid w:val="003A1EC1"/>
    <w:rsid w:val="003A39EA"/>
    <w:rsid w:val="003A4188"/>
    <w:rsid w:val="003A4682"/>
    <w:rsid w:val="003A50CA"/>
    <w:rsid w:val="003A7B34"/>
    <w:rsid w:val="003B1AE0"/>
    <w:rsid w:val="003C4CBD"/>
    <w:rsid w:val="003C52AC"/>
    <w:rsid w:val="003C58D0"/>
    <w:rsid w:val="003C5E84"/>
    <w:rsid w:val="003D2CD4"/>
    <w:rsid w:val="003D5DD3"/>
    <w:rsid w:val="003F047C"/>
    <w:rsid w:val="003F04F3"/>
    <w:rsid w:val="003F6AE8"/>
    <w:rsid w:val="00407AF4"/>
    <w:rsid w:val="00407BF5"/>
    <w:rsid w:val="004114EE"/>
    <w:rsid w:val="00413AF0"/>
    <w:rsid w:val="00414AF5"/>
    <w:rsid w:val="00415287"/>
    <w:rsid w:val="00427B92"/>
    <w:rsid w:val="00430856"/>
    <w:rsid w:val="00431059"/>
    <w:rsid w:val="0043156B"/>
    <w:rsid w:val="00431813"/>
    <w:rsid w:val="00433C42"/>
    <w:rsid w:val="00433EF6"/>
    <w:rsid w:val="004346A3"/>
    <w:rsid w:val="00434F67"/>
    <w:rsid w:val="004360EB"/>
    <w:rsid w:val="0043678B"/>
    <w:rsid w:val="00437473"/>
    <w:rsid w:val="00442377"/>
    <w:rsid w:val="004457F6"/>
    <w:rsid w:val="0044609E"/>
    <w:rsid w:val="00447FC3"/>
    <w:rsid w:val="004578BD"/>
    <w:rsid w:val="004602CC"/>
    <w:rsid w:val="0046401F"/>
    <w:rsid w:val="00467AA1"/>
    <w:rsid w:val="00470619"/>
    <w:rsid w:val="00482AB5"/>
    <w:rsid w:val="00487FF9"/>
    <w:rsid w:val="004A1A9E"/>
    <w:rsid w:val="004A6F62"/>
    <w:rsid w:val="004B0CFF"/>
    <w:rsid w:val="004B1FFF"/>
    <w:rsid w:val="004B436B"/>
    <w:rsid w:val="004B738C"/>
    <w:rsid w:val="004C43F4"/>
    <w:rsid w:val="004C488A"/>
    <w:rsid w:val="004C6444"/>
    <w:rsid w:val="004D6DB7"/>
    <w:rsid w:val="004D6EEE"/>
    <w:rsid w:val="004E26EE"/>
    <w:rsid w:val="004E6EA4"/>
    <w:rsid w:val="004E71BA"/>
    <w:rsid w:val="004F0740"/>
    <w:rsid w:val="004F14DB"/>
    <w:rsid w:val="004F2278"/>
    <w:rsid w:val="004F27DE"/>
    <w:rsid w:val="004F4961"/>
    <w:rsid w:val="00500684"/>
    <w:rsid w:val="005021B8"/>
    <w:rsid w:val="0050330E"/>
    <w:rsid w:val="005063D5"/>
    <w:rsid w:val="00506B9A"/>
    <w:rsid w:val="0050789D"/>
    <w:rsid w:val="005139BF"/>
    <w:rsid w:val="005169F8"/>
    <w:rsid w:val="00520188"/>
    <w:rsid w:val="00522103"/>
    <w:rsid w:val="0052491D"/>
    <w:rsid w:val="00527524"/>
    <w:rsid w:val="00534FC6"/>
    <w:rsid w:val="0053623D"/>
    <w:rsid w:val="00540C1C"/>
    <w:rsid w:val="00551213"/>
    <w:rsid w:val="00555DC3"/>
    <w:rsid w:val="00556D1E"/>
    <w:rsid w:val="00561274"/>
    <w:rsid w:val="005638DD"/>
    <w:rsid w:val="00566680"/>
    <w:rsid w:val="0057322C"/>
    <w:rsid w:val="00576A19"/>
    <w:rsid w:val="005A04A7"/>
    <w:rsid w:val="005C0FF0"/>
    <w:rsid w:val="005C1D5B"/>
    <w:rsid w:val="005D486E"/>
    <w:rsid w:val="005E6E1F"/>
    <w:rsid w:val="005E755C"/>
    <w:rsid w:val="005F2010"/>
    <w:rsid w:val="005F55C2"/>
    <w:rsid w:val="005F6E8A"/>
    <w:rsid w:val="0060117B"/>
    <w:rsid w:val="00607A18"/>
    <w:rsid w:val="006249EC"/>
    <w:rsid w:val="006256BA"/>
    <w:rsid w:val="0062730B"/>
    <w:rsid w:val="00633A44"/>
    <w:rsid w:val="00634BA7"/>
    <w:rsid w:val="006417C6"/>
    <w:rsid w:val="00643375"/>
    <w:rsid w:val="00643947"/>
    <w:rsid w:val="006537CD"/>
    <w:rsid w:val="00660DF2"/>
    <w:rsid w:val="0067396C"/>
    <w:rsid w:val="0068207C"/>
    <w:rsid w:val="00682755"/>
    <w:rsid w:val="006829A4"/>
    <w:rsid w:val="00693BAC"/>
    <w:rsid w:val="0069433B"/>
    <w:rsid w:val="006A150E"/>
    <w:rsid w:val="006A7407"/>
    <w:rsid w:val="006B1057"/>
    <w:rsid w:val="006C54C2"/>
    <w:rsid w:val="006D180A"/>
    <w:rsid w:val="006D5193"/>
    <w:rsid w:val="006E299D"/>
    <w:rsid w:val="006E366A"/>
    <w:rsid w:val="006E4432"/>
    <w:rsid w:val="006E5A06"/>
    <w:rsid w:val="006F7721"/>
    <w:rsid w:val="0070405A"/>
    <w:rsid w:val="0070657F"/>
    <w:rsid w:val="00721462"/>
    <w:rsid w:val="00722A5A"/>
    <w:rsid w:val="00725AAD"/>
    <w:rsid w:val="00745362"/>
    <w:rsid w:val="00746FD0"/>
    <w:rsid w:val="00747C39"/>
    <w:rsid w:val="00747DE4"/>
    <w:rsid w:val="007574A6"/>
    <w:rsid w:val="00765EE1"/>
    <w:rsid w:val="007811FC"/>
    <w:rsid w:val="0079245A"/>
    <w:rsid w:val="00794944"/>
    <w:rsid w:val="007949FB"/>
    <w:rsid w:val="007A2E7D"/>
    <w:rsid w:val="007B3460"/>
    <w:rsid w:val="007B756E"/>
    <w:rsid w:val="007C14A0"/>
    <w:rsid w:val="007C1DB8"/>
    <w:rsid w:val="007C3EA8"/>
    <w:rsid w:val="007C656B"/>
    <w:rsid w:val="007D0D8B"/>
    <w:rsid w:val="007D68F5"/>
    <w:rsid w:val="007E7653"/>
    <w:rsid w:val="007E77D7"/>
    <w:rsid w:val="007F0CF9"/>
    <w:rsid w:val="007F1887"/>
    <w:rsid w:val="007F472B"/>
    <w:rsid w:val="00802671"/>
    <w:rsid w:val="00810847"/>
    <w:rsid w:val="00812EC5"/>
    <w:rsid w:val="00813C4E"/>
    <w:rsid w:val="00815B6E"/>
    <w:rsid w:val="00820D8E"/>
    <w:rsid w:val="008244EE"/>
    <w:rsid w:val="0082782F"/>
    <w:rsid w:val="00836986"/>
    <w:rsid w:val="00840A3B"/>
    <w:rsid w:val="00842A97"/>
    <w:rsid w:val="0084371C"/>
    <w:rsid w:val="008479DC"/>
    <w:rsid w:val="008517A5"/>
    <w:rsid w:val="00854B37"/>
    <w:rsid w:val="00863DEB"/>
    <w:rsid w:val="00865D93"/>
    <w:rsid w:val="00867987"/>
    <w:rsid w:val="00867AB0"/>
    <w:rsid w:val="00884C8A"/>
    <w:rsid w:val="008853C1"/>
    <w:rsid w:val="00890B81"/>
    <w:rsid w:val="00892F26"/>
    <w:rsid w:val="00897106"/>
    <w:rsid w:val="008B0B2B"/>
    <w:rsid w:val="008B1519"/>
    <w:rsid w:val="008C10A0"/>
    <w:rsid w:val="008C2BDE"/>
    <w:rsid w:val="008C49C6"/>
    <w:rsid w:val="008C688B"/>
    <w:rsid w:val="008D1587"/>
    <w:rsid w:val="008D1A42"/>
    <w:rsid w:val="008D1D3E"/>
    <w:rsid w:val="008D5B53"/>
    <w:rsid w:val="008E4BFE"/>
    <w:rsid w:val="008E5DEB"/>
    <w:rsid w:val="00902150"/>
    <w:rsid w:val="00905DAD"/>
    <w:rsid w:val="00914F98"/>
    <w:rsid w:val="009161E7"/>
    <w:rsid w:val="009277C8"/>
    <w:rsid w:val="009300D8"/>
    <w:rsid w:val="00934538"/>
    <w:rsid w:val="00936593"/>
    <w:rsid w:val="009369B2"/>
    <w:rsid w:val="00951FA8"/>
    <w:rsid w:val="0095226D"/>
    <w:rsid w:val="0096094A"/>
    <w:rsid w:val="0096292A"/>
    <w:rsid w:val="0096727F"/>
    <w:rsid w:val="0097063C"/>
    <w:rsid w:val="00971630"/>
    <w:rsid w:val="00973330"/>
    <w:rsid w:val="00973DE3"/>
    <w:rsid w:val="009756C7"/>
    <w:rsid w:val="00975EE7"/>
    <w:rsid w:val="00977969"/>
    <w:rsid w:val="00983097"/>
    <w:rsid w:val="0098344A"/>
    <w:rsid w:val="009877C7"/>
    <w:rsid w:val="00994409"/>
    <w:rsid w:val="009A4A4B"/>
    <w:rsid w:val="009A76FC"/>
    <w:rsid w:val="009B2DF3"/>
    <w:rsid w:val="009B60E9"/>
    <w:rsid w:val="009B79AB"/>
    <w:rsid w:val="009B7DD6"/>
    <w:rsid w:val="009C0CD3"/>
    <w:rsid w:val="009C1E00"/>
    <w:rsid w:val="009C2178"/>
    <w:rsid w:val="009C6080"/>
    <w:rsid w:val="009C6C7F"/>
    <w:rsid w:val="009D1D6C"/>
    <w:rsid w:val="009E5E57"/>
    <w:rsid w:val="009F2652"/>
    <w:rsid w:val="009F2AD3"/>
    <w:rsid w:val="00A072DB"/>
    <w:rsid w:val="00A10BFD"/>
    <w:rsid w:val="00A11179"/>
    <w:rsid w:val="00A17092"/>
    <w:rsid w:val="00A21140"/>
    <w:rsid w:val="00A421CB"/>
    <w:rsid w:val="00A42FAC"/>
    <w:rsid w:val="00A46F47"/>
    <w:rsid w:val="00A51D0F"/>
    <w:rsid w:val="00A5351B"/>
    <w:rsid w:val="00A570A8"/>
    <w:rsid w:val="00A60020"/>
    <w:rsid w:val="00A65058"/>
    <w:rsid w:val="00A65501"/>
    <w:rsid w:val="00A70F0F"/>
    <w:rsid w:val="00A74889"/>
    <w:rsid w:val="00A75B67"/>
    <w:rsid w:val="00A77A6B"/>
    <w:rsid w:val="00A838AF"/>
    <w:rsid w:val="00A83A01"/>
    <w:rsid w:val="00A84135"/>
    <w:rsid w:val="00A91306"/>
    <w:rsid w:val="00A9564C"/>
    <w:rsid w:val="00A97607"/>
    <w:rsid w:val="00AA1140"/>
    <w:rsid w:val="00AA6B65"/>
    <w:rsid w:val="00AB4EC1"/>
    <w:rsid w:val="00AB6615"/>
    <w:rsid w:val="00AC050C"/>
    <w:rsid w:val="00AC33E7"/>
    <w:rsid w:val="00AC5D5C"/>
    <w:rsid w:val="00AD0DF8"/>
    <w:rsid w:val="00AD1903"/>
    <w:rsid w:val="00AD7C6B"/>
    <w:rsid w:val="00AE2722"/>
    <w:rsid w:val="00AE5F44"/>
    <w:rsid w:val="00AE765E"/>
    <w:rsid w:val="00AE7BC1"/>
    <w:rsid w:val="00AF086C"/>
    <w:rsid w:val="00AF3CD1"/>
    <w:rsid w:val="00AF3F64"/>
    <w:rsid w:val="00B2311C"/>
    <w:rsid w:val="00B34FC9"/>
    <w:rsid w:val="00B35B1C"/>
    <w:rsid w:val="00B35B32"/>
    <w:rsid w:val="00B40D78"/>
    <w:rsid w:val="00B47BE3"/>
    <w:rsid w:val="00B50E20"/>
    <w:rsid w:val="00B529B9"/>
    <w:rsid w:val="00B534E0"/>
    <w:rsid w:val="00B552A5"/>
    <w:rsid w:val="00B5600B"/>
    <w:rsid w:val="00B57597"/>
    <w:rsid w:val="00B632A2"/>
    <w:rsid w:val="00B830FF"/>
    <w:rsid w:val="00B83473"/>
    <w:rsid w:val="00BA0F7E"/>
    <w:rsid w:val="00BA60B1"/>
    <w:rsid w:val="00BA75FA"/>
    <w:rsid w:val="00BB1B71"/>
    <w:rsid w:val="00BC577D"/>
    <w:rsid w:val="00BC7F35"/>
    <w:rsid w:val="00BD633E"/>
    <w:rsid w:val="00BD702D"/>
    <w:rsid w:val="00BE2EBD"/>
    <w:rsid w:val="00BE4253"/>
    <w:rsid w:val="00BE4934"/>
    <w:rsid w:val="00BF388A"/>
    <w:rsid w:val="00C05A8D"/>
    <w:rsid w:val="00C05FF9"/>
    <w:rsid w:val="00C07D51"/>
    <w:rsid w:val="00C170FE"/>
    <w:rsid w:val="00C17C65"/>
    <w:rsid w:val="00C21591"/>
    <w:rsid w:val="00C3032B"/>
    <w:rsid w:val="00C30A29"/>
    <w:rsid w:val="00C31DE3"/>
    <w:rsid w:val="00C34145"/>
    <w:rsid w:val="00C37877"/>
    <w:rsid w:val="00C4186E"/>
    <w:rsid w:val="00C463D5"/>
    <w:rsid w:val="00C4689A"/>
    <w:rsid w:val="00C56F84"/>
    <w:rsid w:val="00C70ACF"/>
    <w:rsid w:val="00C72CF1"/>
    <w:rsid w:val="00C76954"/>
    <w:rsid w:val="00C8469F"/>
    <w:rsid w:val="00C867B8"/>
    <w:rsid w:val="00CA700F"/>
    <w:rsid w:val="00CB020B"/>
    <w:rsid w:val="00CB4574"/>
    <w:rsid w:val="00CB45D2"/>
    <w:rsid w:val="00CB6505"/>
    <w:rsid w:val="00CB66D0"/>
    <w:rsid w:val="00CC40ED"/>
    <w:rsid w:val="00CC53CD"/>
    <w:rsid w:val="00CD4661"/>
    <w:rsid w:val="00CD5E0A"/>
    <w:rsid w:val="00CE4BF1"/>
    <w:rsid w:val="00CE533B"/>
    <w:rsid w:val="00D02516"/>
    <w:rsid w:val="00D05ABE"/>
    <w:rsid w:val="00D171C1"/>
    <w:rsid w:val="00D234EE"/>
    <w:rsid w:val="00D2707B"/>
    <w:rsid w:val="00D32211"/>
    <w:rsid w:val="00D324A9"/>
    <w:rsid w:val="00D3771F"/>
    <w:rsid w:val="00D466FC"/>
    <w:rsid w:val="00D63E27"/>
    <w:rsid w:val="00D86054"/>
    <w:rsid w:val="00D90B1C"/>
    <w:rsid w:val="00D912A1"/>
    <w:rsid w:val="00D9756C"/>
    <w:rsid w:val="00D97ECE"/>
    <w:rsid w:val="00DA578B"/>
    <w:rsid w:val="00DB5AFF"/>
    <w:rsid w:val="00DC19F8"/>
    <w:rsid w:val="00DC42FB"/>
    <w:rsid w:val="00DC689A"/>
    <w:rsid w:val="00DC7B68"/>
    <w:rsid w:val="00DD72BF"/>
    <w:rsid w:val="00DE1A46"/>
    <w:rsid w:val="00DE1FEE"/>
    <w:rsid w:val="00DE22ED"/>
    <w:rsid w:val="00DE55D7"/>
    <w:rsid w:val="00DF106E"/>
    <w:rsid w:val="00E00996"/>
    <w:rsid w:val="00E0128F"/>
    <w:rsid w:val="00E02599"/>
    <w:rsid w:val="00E074D8"/>
    <w:rsid w:val="00E07A3E"/>
    <w:rsid w:val="00E123BA"/>
    <w:rsid w:val="00E135E5"/>
    <w:rsid w:val="00E20424"/>
    <w:rsid w:val="00E217B6"/>
    <w:rsid w:val="00E21E4B"/>
    <w:rsid w:val="00E223C1"/>
    <w:rsid w:val="00E26FCA"/>
    <w:rsid w:val="00E3451C"/>
    <w:rsid w:val="00E47D19"/>
    <w:rsid w:val="00E54F41"/>
    <w:rsid w:val="00E55560"/>
    <w:rsid w:val="00E63469"/>
    <w:rsid w:val="00E66895"/>
    <w:rsid w:val="00E7435A"/>
    <w:rsid w:val="00E82DE9"/>
    <w:rsid w:val="00E909C9"/>
    <w:rsid w:val="00E96D6A"/>
    <w:rsid w:val="00EA0C7E"/>
    <w:rsid w:val="00EB49BE"/>
    <w:rsid w:val="00EB6499"/>
    <w:rsid w:val="00EB6673"/>
    <w:rsid w:val="00EB6C77"/>
    <w:rsid w:val="00EC0A8D"/>
    <w:rsid w:val="00EC37D6"/>
    <w:rsid w:val="00EC47BA"/>
    <w:rsid w:val="00ED0658"/>
    <w:rsid w:val="00ED1B5A"/>
    <w:rsid w:val="00ED1DCF"/>
    <w:rsid w:val="00ED7A10"/>
    <w:rsid w:val="00EF36F0"/>
    <w:rsid w:val="00F01277"/>
    <w:rsid w:val="00F020D8"/>
    <w:rsid w:val="00F0531F"/>
    <w:rsid w:val="00F120C3"/>
    <w:rsid w:val="00F13268"/>
    <w:rsid w:val="00F17CD1"/>
    <w:rsid w:val="00F31FE5"/>
    <w:rsid w:val="00F44FBC"/>
    <w:rsid w:val="00F5153C"/>
    <w:rsid w:val="00F5194E"/>
    <w:rsid w:val="00F52D08"/>
    <w:rsid w:val="00F52EBE"/>
    <w:rsid w:val="00F54FD7"/>
    <w:rsid w:val="00F55E06"/>
    <w:rsid w:val="00F600EA"/>
    <w:rsid w:val="00F6497D"/>
    <w:rsid w:val="00F66C0E"/>
    <w:rsid w:val="00F66D7B"/>
    <w:rsid w:val="00F80B69"/>
    <w:rsid w:val="00F848CE"/>
    <w:rsid w:val="00F8641B"/>
    <w:rsid w:val="00F9029F"/>
    <w:rsid w:val="00F94CA3"/>
    <w:rsid w:val="00F96A5E"/>
    <w:rsid w:val="00FA4573"/>
    <w:rsid w:val="00FA57DD"/>
    <w:rsid w:val="00FB1B03"/>
    <w:rsid w:val="00FC2D20"/>
    <w:rsid w:val="00FC4DD4"/>
    <w:rsid w:val="00FD1FD4"/>
    <w:rsid w:val="00FD42D9"/>
    <w:rsid w:val="00FD52B4"/>
    <w:rsid w:val="00FE5C73"/>
    <w:rsid w:val="00FF1140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5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AAE-109E-43DA-A6D1-1662626E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Гафиатуллин</dc:creator>
  <cp:lastModifiedBy>Невзоров Сергей</cp:lastModifiedBy>
  <cp:revision>2</cp:revision>
  <cp:lastPrinted>2014-01-15T12:48:00Z</cp:lastPrinted>
  <dcterms:created xsi:type="dcterms:W3CDTF">2014-01-16T06:37:00Z</dcterms:created>
  <dcterms:modified xsi:type="dcterms:W3CDTF">2014-01-16T06:37:00Z</dcterms:modified>
</cp:coreProperties>
</file>